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WoGG — Berechnungsgrößen des Wohngeldes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Wohngeld richtet sich nach</w:t>
      </w:r>
    </w:p>
    <w:p>
      <w:pPr>
        <w:ind w:left="420"/>
      </w:pPr>
      <w:r>
        <w:t xml:space="preserve">1. der Anzahl der zu berücksichtigenden Haushaltsmitglieder (§§ 5 bis 8),</w:t>
      </w:r>
    </w:p>
    <w:p>
      <w:pPr>
        <w:ind w:left="420"/>
      </w:pPr>
      <w:r>
        <w:t xml:space="preserve">2. der zu berücksichtigenden Miete oder Belastung (§§ 9 bis 12) und</w:t>
      </w:r>
    </w:p>
    <w:p>
      <w:pPr>
        <w:ind w:left="420"/>
      </w:pPr>
      <w:r>
        <w:t xml:space="preserve">3. dem Gesamteinkommen (§§ 13 bis 18)</w:t>
      </w:r>
    </w:p>
    <w:p>
      <w:r>
        <w:t xml:space="preserve">und ist nach § 19 zu berechnen.</w:t>
      </w:r>
    </w:p>
    <w:p>
      <w:r>
        <w:rPr>
          <w:color w:val="555555"/>
          <w:sz w:val="17"/>
        </w:rPr>
        <w:t xml:space="preserve">Zitiervorschlag: § 4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