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WoGG — Bußgeld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23 Absatz 1 Satz 1, Absatz 2 oder Absatz 3 eine Auskunft nicht, nicht richtig, nicht vollständig oder nicht rechtzeitig gibt,</w:t>
      </w:r>
    </w:p>
    <w:p>
      <w:pPr>
        <w:ind w:left="420"/>
      </w:pPr>
      <w:r>
        <w:t xml:space="preserve">2. entgegen § 23 Absatz 1 Satz 3 eine Angabe nicht richtig macht oder</w:t>
      </w:r>
    </w:p>
    <w:p>
      <w:pPr>
        <w:ind w:left="420"/>
      </w:pPr>
      <w:r>
        <w:t xml:space="preserve">3. entgegen § 27 Abs. 3 Satz 1, auch in Verbindung mit Abs. 4, oder § 28 Abs. 1 Satz 2 oder Abs. 4 Satz 1 eine Änderung in den Verhältnissen, die für den Wohngeldanspruch erheblich ist, nicht, nicht richtig, nicht vollständig oder nicht rechtzeitig mitteilt.</w:t>
      </w:r>
    </w:p>
    <w:p>
      <w:r>
        <w:t xml:space="preserve">(2) Die Ordnungswidrigkeit kann mit einer Geldbuße bis zu zweitausend Euro geahndet werden.</w:t>
      </w:r>
    </w:p>
    <w:p>
      <w:r>
        <w:t xml:space="preserve">(3) Verwaltungsbehörden im Sinne des § 36 Abs. 1 Nr. 1 des Gesetzes über Ordnungswidrigkeiten sind die Wohngeldbehörden.</w:t>
      </w:r>
    </w:p>
    <w:p>
      <w:r>
        <w:rPr>
          <w:color w:val="555555"/>
          <w:sz w:val="17"/>
        </w:rPr>
        <w:t xml:space="preserve">Zitiervorschlag: § 37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