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WoGG — Zweck der Wohngeldstatistik, Auskunfts- und Hinweispflicht</w:t>
      </w:r>
    </w:p>
    <w:p>
      <w:r>
        <w:rPr>
          <w:color w:val="555555"/>
          <w:sz w:val="18"/>
        </w:rPr>
        <w:t xml:space="preserve">Wohngeldgesetz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die Anträge und Entscheidungen nach diesem Gesetz sowie über die persönlichen und sachlichen Verhältnisse der zu berücksichtigenden Haushaltsmitglieder, die für die Berechnung des regionalen Mietenniveaus (§ 12 Abs. 3 und 4), den Wohngeld- und Mietenbericht (§ 39), die Beurteilung der Auswirkungen dieses Gesetzes und dessen Fortentwicklung erforderlich sind, ist eine Bundesstatistik zu führen.</w:t>
      </w:r>
    </w:p>
    <w:p>
      <w:r>
        <w:t xml:space="preserve">(2) Für die Erhebung sind die Wohngeldbehörden auskunftspflichtig. Die Angaben der in § 23 Abs. 1 bis 3 bezeichneten Personen dienen zur Ermittlung der statistischen Daten im Rahmen der Erhebungsmerkmale (§ 35).</w:t>
      </w:r>
    </w:p>
    <w:p>
      <w:r>
        <w:t xml:space="preserve">(3) Die wohngeldberechtigte Person ist auf die Verwendung der auf Grund der Bearbeitung bekannten Daten für die Wohngeldstatistik und auf die Möglichkeit der Übermittlung nach § 36 Abs. 2 Satz 2 hinzuweisen.</w:t>
      </w:r>
    </w:p>
    <w:p>
      <w:r>
        <w:rPr>
          <w:color w:val="555555"/>
          <w:sz w:val="17"/>
        </w:rPr>
        <w:t xml:space="preserve">Zitiervorschlag: § 34 WoGG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https://recht.nulegal.eu/gesetze/WoGG/34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