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WoGG — Rücknahme eines rechtswidrigen nicht begünstigenden Wohngeldbescheides</w:t>
      </w:r>
    </w:p>
    <w:p>
      <w:r>
        <w:rPr>
          <w:color w:val="555555"/>
          <w:sz w:val="18"/>
        </w:rPr>
        <w:t xml:space="preserve">Wohngeldgesetz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Wird ein rechtswidriger nicht begünstigender Wohngeldbescheid mit Wirkung für die Vergangenheit zurückgenommen, muss die Wohngeldbehörde längstens für zwei Jahre vor der Rücknahme Wohngeld leisten. Im Übrigen bleibt § 44 des Zehnten Buches Sozialgesetzbuch unberührt.</w:t>
      </w:r>
    </w:p>
    <w:p>
      <w:r>
        <w:rPr>
          <w:color w:val="555555"/>
          <w:sz w:val="17"/>
        </w:rPr>
        <w:t xml:space="preserve">Zitiervorschlag: § 31 WoGG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https://recht.nulegal.eu/gesetze/WoGG/31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