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WoGG — Sonstige Gründe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Wohngeldanspruch besteht nicht,</w:t>
      </w:r>
    </w:p>
    <w:p>
      <w:pPr>
        <w:ind w:left="420"/>
      </w:pPr>
      <w:r>
        <w:t xml:space="preserve">1. wenn das Wohngeld weniger als 10 Euro monatlich betragen würde,</w:t>
      </w:r>
    </w:p>
    <w:p>
      <w:pPr>
        <w:ind w:left="420"/>
      </w:pPr>
      <w:r>
        <w:t xml:space="preserve">2. wenn alle Haushaltsmitglieder nach den §§ 7 und 8 Abs. 1 vom Wohngeld ausgeschlossen sind oder</w:t>
      </w:r>
    </w:p>
    <w:p>
      <w:pPr>
        <w:ind w:left="420"/>
      </w:pPr>
      <w:r>
        <w:t xml:space="preserve">3. soweit die Inanspruchnahme missbräuchlich wäre, insbesondere wegen erheblichen Vermögens.</w:t>
      </w:r>
    </w:p>
    <w:p>
      <w:r>
        <w:rPr>
          <w:color w:val="555555"/>
          <w:sz w:val="17"/>
        </w:rPr>
        <w:t xml:space="preserve">Zitiervorschlag: § 21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