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WoGG — Gesamteinkommen</w:t>
      </w:r>
    </w:p>
    <w:p>
      <w:r>
        <w:rPr>
          <w:color w:val="555555"/>
          <w:sz w:val="18"/>
        </w:rPr>
        <w:t xml:space="preserve">Wohngeldgesetz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Das Gesamteinkommen ist die Summe der Jahreseinkommen (§ 14) der zu berücksichtigenden Haushaltsmitglieder abzüglich der Freibeträge (die §§ 17 und 17a) und der Abzugsbeträge für Unterhaltsleistungen (§ 18).</w:t>
      </w:r>
    </w:p>
    <w:p>
      <w:r>
        <w:t xml:space="preserve">(2) Das monatliche Gesamteinkommen ist ein Zwölftel des Gesamteinkommens.</w:t>
      </w:r>
    </w:p>
    <w:p>
      <w:r>
        <w:rPr>
          <w:color w:val="555555"/>
          <w:sz w:val="17"/>
        </w:rPr>
        <w:t xml:space="preserve">Zitiervorschlag: § 13 WoGG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https://recht.nulegal.eu/gesetze/WoGG/13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