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WoGG — Belastung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Belastung sind die Kosten für den Kapitaldienst und die Bewirtschaftung von Wohnraum in vereinbarter oder festgesetzter Höhe.</w:t>
      </w:r>
    </w:p>
    <w:p>
      <w:r>
        <w:t xml:space="preserve">(2) Die Belastung ist von der Wohngeldbehörde (§ 24 Abs. 1 Satz 1) in einer Wohngeld-Lastenberechnung zu ermitteln. Von einer vollständigen Wohngeld-Lastenberechnung kann abgesehen werden, wenn die auf den Wohnraum entfallende Belastung aus Zinsen und Tilgungen die Summe aus dem Höchstbetrag nach § 12 Absatz 1 und der Klimakomponente nach § 12 Absatz 7 erreicht oder übersteigt.</w:t>
      </w:r>
    </w:p>
    <w:p>
      <w:r>
        <w:rPr>
          <w:color w:val="555555"/>
          <w:sz w:val="17"/>
        </w:rPr>
        <w:t xml:space="preserve">Zitiervorschlag: § 10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