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WoGG — Zweck des Wohngeldes</w:t>
      </w:r>
    </w:p>
    <w:p>
      <w:r>
        <w:rPr>
          <w:color w:val="555555"/>
          <w:sz w:val="18"/>
        </w:rPr>
        <w:t xml:space="preserve">Wohngeldgesetz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Wohngeld dient der wirtschaftlichen Sicherung angemessenen und familiengerechten Wohnens.</w:t>
      </w:r>
    </w:p>
    <w:p>
      <w:r>
        <w:t xml:space="preserve">(2) Das Wohngeld wird als Zuschuss zur Miete (Mietzuschuss) oder zur Belastung (Lastenzuschuss) für den selbst genutzten Wohnraum geleistet.</w:t>
      </w:r>
    </w:p>
    <w:p>
      <w:r>
        <w:rPr>
          <w:color w:val="555555"/>
          <w:sz w:val="17"/>
        </w:rPr>
        <w:t xml:space="preserve">Zitiervorschlag: § 1 WoGG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https://recht.nulegal.eu/gesetze/WoGG/1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