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WoFlV — Anrechnung der Grundflächen</w:t>
      </w:r>
    </w:p>
    <w:p>
      <w:r>
        <w:rPr>
          <w:color w:val="555555"/>
          <w:sz w:val="18"/>
        </w:rPr>
        <w:t xml:space="preserve">Wohnflächenverordnung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Grundflächen</w:t>
      </w:r>
    </w:p>
    <w:p>
      <w:pPr>
        <w:ind w:left="420"/>
      </w:pPr>
      <w:r>
        <w:t xml:space="preserve">1. von Räumen und Raumteilen mit einer lichten Höhe von mindestens zwei Metern sind vollständig,</w:t>
      </w:r>
    </w:p>
    <w:p>
      <w:pPr>
        <w:ind w:left="420"/>
      </w:pPr>
      <w:r>
        <w:t xml:space="preserve">2. von Räumen und Raumteilen mit einer lichten Höhe von mindestens einem Meter und weniger als zwei Metern sind zur Hälfte,</w:t>
      </w:r>
    </w:p>
    <w:p>
      <w:pPr>
        <w:ind w:left="420"/>
      </w:pPr>
      <w:r>
        <w:t xml:space="preserve">3. von unbeheizbaren Wintergärten, Schwimmbädern und ähnlichen nach allen Seiten geschlossenen Räumen sind zur Hälfte,</w:t>
      </w:r>
    </w:p>
    <w:p>
      <w:pPr>
        <w:ind w:left="420"/>
      </w:pPr>
      <w:r>
        <w:t xml:space="preserve">4. von Balkonen, Loggien, Dachgärten und Terrassen sind in der Regel zu einem Viertel, höchstens jedoch zur Hälfte</w:t>
      </w:r>
    </w:p>
    <w:p>
      <w:r>
        <w:t xml:space="preserve">anzurechnen.</w:t>
      </w:r>
    </w:p>
    <w:p>
      <w:r>
        <w:rPr>
          <w:color w:val="555555"/>
          <w:sz w:val="17"/>
        </w:rPr>
        <w:t xml:space="preserve">Zitiervorschlag: § 4 WoFlV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https://recht.nulegal.eu/gesetze/WoFlV/4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