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WoFlV — Anwendungsbereich, Berechnung der Wohnfläche</w:t>
      </w:r>
    </w:p>
    <w:p>
      <w:r>
        <w:rPr>
          <w:color w:val="555555"/>
          <w:sz w:val="18"/>
        </w:rPr>
        <w:t xml:space="preserve">Wohnflächenverordnung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Wird nach dem Wohnraumförderungsgesetz die Wohnfläche berechnet, sind die Vorschriften dieser Verordnung anzuwenden.</w:t>
      </w:r>
    </w:p>
    <w:p>
      <w:r>
        <w:t xml:space="preserve">(2) Zur Berechnung der Wohnfläche sind die nach § 2 zur Wohnfläche gehörenden Grundflächen nach § 3 zu ermitteln und nach § 4 auf die Wohnfläche anzurechnen.</w:t>
      </w:r>
    </w:p>
    <w:p>
      <w:r>
        <w:rPr>
          <w:color w:val="555555"/>
          <w:sz w:val="17"/>
        </w:rPr>
        <w:t xml:space="preserve">Zitiervorschlag: § 1 WoFlV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https://recht.nulegal.eu/gesetze/WoFlV/1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