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WoFG — Einkommensgrenzen</w:t>
      </w:r>
    </w:p>
    <w:p>
      <w:r>
        <w:rPr>
          <w:color w:val="555555"/>
          <w:sz w:val="18"/>
        </w:rPr>
        <w:t xml:space="preserve">Wohnraumförderungsgesetz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Förderung darf nur Haushalte begünstigen, deren Einkommen die Grenzen für das jährliche Einkommen, die in Absatz 2 bezeichnet oder von den Ländern nach Absatz 3 abweichend festgelegt sind, nicht überschreiten. Bei der Ermittlung des Einkommens sind die §§ 20 bis 24 anzuwenden.</w:t>
      </w:r>
    </w:p>
    <w:p>
      <w:r>
        <w:t xml:space="preserve">(2) Die Einkommensgrenze beträgt:</w:t>
      </w:r>
    </w:p>
    <w:p>
      <w:r>
        <w:rPr>
          <w:rFonts w:ascii="Courier New" w:hAnsi="Courier New"/>
          <w:sz w:val="17"/>
        </w:rPr>
        <w:t xml:space="preserve">für einen Einpersonenhaushalt    12.000 Euro,</w:t>
      </w:r>
    </w:p>
    <w:p>
      <w:r>
        <w:rPr>
          <w:rFonts w:ascii="Courier New" w:hAnsi="Courier New"/>
          <w:sz w:val="17"/>
        </w:rPr>
        <w:t xml:space="preserve">für einen Zweipersonenhaushalt    18.000 Euro,</w:t>
      </w:r>
    </w:p>
    <w:p>
      <w:r>
        <w:rPr>
          <w:rFonts w:ascii="Courier New" w:hAnsi="Courier New"/>
          <w:sz w:val="17"/>
        </w:rPr>
        <w:t xml:space="preserve">zuzüglich für jede weitere zum Haushalt rechnende Person    4.100 Euro.</w:t>
      </w:r>
    </w:p>
    <w:p>
      <w:r>
        <w:t xml:space="preserve">Sind zum Haushalt rechnende Personen Kinder im Sinne des § 32 Abs. 1 bis 5 des Einkommensteuergesetzes, erhöht sich die Einkommensgrenze nach Satz 1 für jedes Kind um weitere 500 Euro.</w:t>
      </w:r>
    </w:p>
    <w:p>
      <w:r>
        <w:t xml:space="preserve">(3) Die Landesregierungen werden ermächtigt, durch Rechtsverordnung von den in Absatz 2 bezeichneten Einkommensgrenzen nach den örtlichen und regionalen wohnungswirtschaftlichen Verhältnissen insbesondere</w:t>
      </w:r>
    </w:p>
    <w:p>
      <w:pPr>
        <w:ind w:left="420"/>
      </w:pPr>
      <w:r>
        <w:t xml:space="preserve">1. zur Berücksichtigung von Haushalten mit Schwierigkeiten bei der Wohnraumversorgung,</w:t>
      </w:r>
    </w:p>
    <w:p>
      <w:pPr>
        <w:ind w:left="420"/>
      </w:pPr>
      <w:r>
        <w:t xml:space="preserve">2. im Rahmen der Förderung von selbst genutztem Wohneigentum oder</w:t>
      </w:r>
    </w:p>
    <w:p>
      <w:pPr>
        <w:ind w:left="420"/>
      </w:pPr>
      <w:r>
        <w:t xml:space="preserve">3. zur Schaffung oder Erhaltung sozial stabiler Bewohnerstrukturen</w:t>
      </w:r>
    </w:p>
    <w:p>
      <w:r>
        <w:t xml:space="preserve">Abweichungen festzulegen. Die Landesregierungen können diese Ermächtigung durch Rechtsverordnung auf eine oberste Landesbehörde übertragen.</w:t>
      </w:r>
    </w:p>
    <w:p>
      <w:r>
        <w:rPr>
          <w:color w:val="555555"/>
          <w:sz w:val="17"/>
        </w:rPr>
        <w:t xml:space="preserve">Zitiervorschlag: § 9 WoFG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https://recht.nulegal.eu/gesetze/WoFG/9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