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WoFG — Besondere Grundsätze zur Förderung der Bildung selbst genutzten Wohneigentums</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Bei der Förderung der Bildung selbst genutzten Wohneigentums nach § 1 Abs. 2 Satz 2 Nr. 2 sind folgende Grundsätze zu berücksichtigen:</w:t>
      </w:r>
    </w:p>
    <w:p>
      <w:pPr>
        <w:ind w:left="420"/>
      </w:pPr>
      <w:r>
        <w:t xml:space="preserve">1. Die Förderung der Bildung selbst genutzten Wohneigentums erfolgt bevorzugt für Familien und andere Haushalte mit zwei und mehr Kindern im Sinne des § 32 Abs. 1 bis 5 des Einkommensteuergesetzes sowie für Haushalte, bei denen wegen einer Behinderung eines Haushaltsangehörigen oder aus sonstigen Gründen ein besonderer baulicher Bedarf besteht.</w:t>
      </w:r>
    </w:p>
    <w:p>
      <w:pPr>
        <w:ind w:left="420"/>
      </w:pPr>
      <w:r>
        <w:t xml:space="preserve">2. Um eine angemessene Belastung des Bauherrn oder des Erwerbers des selbst genutzten Wohneigentums zu erreichen, sind bei der Festlegung der Förderung insbesondere die Einkommensentwicklung und die Eigenheimzulage nach dem Eigenheimzulagengesetz zu berücksichtigen. Fehlförderungen sind zu vermeiden. Soweit dies durch eine Förderung erfolgt, die auf die Entwicklung des Haushaltseinkommens abstellt, sind Veränderungen der maßgeblichen Einkommensverhältnisse und der Haushaltsgröße durch Überprüfungen in regelmäßigen zeitlichen Abständen zu berücksichtigen.</w:t>
      </w:r>
    </w:p>
    <w:p>
      <w:r>
        <w:rPr>
          <w:color w:val="555555"/>
          <w:sz w:val="17"/>
        </w:rPr>
        <w:t xml:space="preserve">Zitiervorschlag: § 8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