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51 WoFG — Anwendung des Gesetzes über den Abbau der Fehlsubventionierung im Wohnungswesen</w:t>
      </w:r>
    </w:p>
    <w:p>
      <w:r>
        <w:rPr>
          <w:color w:val="555555"/>
          <w:sz w:val="18"/>
        </w:rPr>
        <w:t xml:space="preserve">Wohnraumförderungsgesetz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Das Gesetz über den Abbau der Fehlsubventionierung im Wohnungswesen in der Fassung der Bekanntmachung vom 19. August 1994 (BGBl. I S. 2180), zuletzt geändert durch Artikel 7 Abs. 13 des Gesetzes vom 19. Juni 2001 (BGBl. I S. 1149), ist ab 1. Januar 2002 in der jeweils geltenden Fassung für den in § 50 Abs. 1 Satz 1 Nr. 1 bis 3 und Satz 2 und den in § 2 Abs. 2 Nr. 2 des Wohnraumförderung-Überleitungsgesetzes vom 5. September 2006 (BGBl. I S. 2098, 2100) bezeichneten Wohnraum anzuwenden, bis das Land für die Erhebung von Ausgleichszahlungen nach Maßgabe des § 15 des Gesetzes über den Abbau der Fehlsubventionierung im Wohnungswesen Vorschriften erlassen hat.</w:t>
      </w:r>
    </w:p>
    <w:p>
      <w:r>
        <w:t xml:space="preserve">(2) § 50 Abs. 2 gilt für Verfahren sowie für wirksame Entscheidungen und sonstige Maßnahmen nach dem Gesetz über den Abbau der Fehlsubventionierung im Wohnungswesen entsprechend.</w:t>
      </w:r>
    </w:p>
    <w:p>
      <w:r>
        <w:rPr>
          <w:color w:val="555555"/>
          <w:sz w:val="17"/>
        </w:rPr>
        <w:t xml:space="preserve">Zitiervorschlag: § 51 WoFG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https://recht.nulegal.eu/gesetze/WoFG/51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