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WoFG — Anforderungen an die Förderung</w:t>
      </w:r>
    </w:p>
    <w:p>
      <w:r>
        <w:rPr>
          <w:color w:val="555555"/>
          <w:sz w:val="18"/>
        </w:rPr>
        <w:t xml:space="preserve">Wohnraumförderungsgesetz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soziale Wohnraumförderung wird nach diesem Gesetz und hierzu erlassenen Vorschriften des Landes durchgeführt.</w:t>
      </w:r>
    </w:p>
    <w:p>
      <w:r>
        <w:t xml:space="preserve">(2) Die Länder treffen soweit erforderlich auf der Grundlage dieses Gesetzes Bestimmungen, insbesondere über Voraussetzungen der Förderung und deren Durchführung.</w:t>
      </w:r>
    </w:p>
    <w:p>
      <w:r>
        <w:t xml:space="preserve">(3) Die in den §§ 6 bis 8 und 10 bezeichneten Grundsätze sind bei den Bestimmungen nach Absatz 2 und, soweit solche Bestimmungen nicht getroffen sind, bei Entscheidungen, die zur Förderung ergehen, in der Abwägung und bei der Ermessensausübung zu berücksichtigen. Die Länder können weitere Grundsätze aufstellen.</w:t>
      </w:r>
    </w:p>
    <w:p>
      <w:r>
        <w:rPr>
          <w:color w:val="555555"/>
          <w:sz w:val="17"/>
        </w:rPr>
        <w:t xml:space="preserve">Zitiervorschlag: § 5 WoFG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https://recht.nulegal.eu/gesetze/WoFG/5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