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WoFG — Anwendung des Wohnungsbaugesetzes für das Saarland</w:t>
      </w:r>
    </w:p>
    <w:p>
      <w:r>
        <w:rPr>
          <w:color w:val="555555"/>
          <w:sz w:val="18"/>
        </w:rPr>
        <w:t xml:space="preserve">Wohnraumförderungsgesetz</w:t>
      </w:r>
    </w:p>
    <w:p>
      <w:r>
        <w:rPr>
          <w:color w:val="555555"/>
          <w:sz w:val="18"/>
        </w:rPr>
        <w:t xml:space="preserve">Stand: 10.06.2019 (konsolidierte Textfassung, kein amtliches Inkrafttretensdatum)</w:t>
      </w:r>
    </w:p>
    <w:p>
      <w:r>
        <w:t xml:space="preserve">(1) Folgende Vorschriften des Wohnungsbaugesetzes für das Saarland in der bis zum 31. Dezember 2001 geltenden Fassung sind weiter anzuwenden:</w:t>
      </w:r>
    </w:p>
    <w:p>
      <w:pPr>
        <w:ind w:left="420"/>
      </w:pPr>
      <w:r>
        <w:t xml:space="preserve">1. Auf vor dem 1. Januar 2002 und in den Fällen des § 46 Abs. 2 vor dem 1. Januar 2003</w:t>
      </w:r>
    </w:p>
    <w:p>
      <w:pPr>
        <w:ind w:left="780"/>
      </w:pPr>
      <w:r>
        <w:t xml:space="preserve">a) nach den §§ 24 bis 27 des Wohnungsbaugesetzes für das Saarland bewilligte Darlehen für Zinserhöhungen und erstmalige Verzinsungen § 26 Abs. 2 und 3 des Wohnungsbaugesetzes für das Saarland, für Tilgungserhöhungen § 26 Abs. 4 Satz 2 und 3 des Wohnungsbaugesetzes für das Saarland, für Kündigungen § 26 Abs. 5 Satz 2 und 3 des Wohnungsbaugesetzes für das Saarland, für die Bewilligung eines Zusatzdarlehens bei Kaufeigenheimen, Trägerkleinsiedlungen und Kaufeigentumswohnungen § 27 Abs. 3 Satz 2 Halbsatz 2, Abs. 6 Satz 4 und Abs. 7 des Wohnungsbaugesetzes für das Saarland, für die Rückzahlung eines Familienzusatzdarlehens § 27 Abs. 8 des Wohnungsbaugesetzes für das Saarland, für die höchstzulässige Miete § 29a des Wohnungsbaugesetzes für das Saarland;</w:t>
      </w:r>
    </w:p>
    <w:p>
      <w:pPr>
        <w:ind w:left="780"/>
      </w:pPr>
      <w:r>
        <w:t xml:space="preserve">b) nach § 38 des Wohnungsbaugesetzes für das Saarland bewilligte Wohnungsfürsorgemittel § 38 des Wohnungsbaugesetzes für das Saarland;</w:t>
      </w:r>
    </w:p>
    <w:p>
      <w:pPr>
        <w:ind w:left="780"/>
      </w:pPr>
      <w:r>
        <w:t xml:space="preserve">c) nach § 51a des Wohnungsbaugesetzes für das Saarland bewilligte Aufwendungsdarlehen und -zuschüsse § 51c Abs. 2 und 3 und § 51d des Wohnungsbaugesetzes für das Saarland, für die Ausweisung eines Aufwendungsdarlehens in der Bilanz § 51a Abs. 3 des Wohnungsbaugesetzes für das Saarland;</w:t>
      </w:r>
    </w:p>
    <w:p>
      <w:pPr>
        <w:ind w:left="420"/>
      </w:pPr>
      <w:r>
        <w:t xml:space="preserve">2. für die Ablösung von öffentlichen Baudarlehen durch Eigentümer eines Eigenheims, einer Eigensiedlung oder einer eigen genutzten Eigentumswohnung, für die öffentliche Mittel nach dem 31. Dezember 1969 bewilligt worden sind, bis zum 28. Februar 2002 § 34 des Wohnungsbaugesetzes für das Saarland;</w:t>
      </w:r>
    </w:p>
    <w:p>
      <w:pPr>
        <w:ind w:left="420"/>
      </w:pPr>
      <w:r>
        <w:t xml:space="preserve">3. auf den sich ergebenden Ausfall an Rückflüssen durch die Ablösung nach § 34 des Wohnungsbaugesetzes für das Saarland § 35 des Wohnungsbaugesetzes für das Saarland;</w:t>
      </w:r>
    </w:p>
    <w:p>
      <w:pPr>
        <w:ind w:left="420"/>
      </w:pPr>
      <w:r>
        <w:t xml:space="preserve">4. für die Anpassung von Förderungsbestimmungen, deren Gegenstand die Errechnung und Anpassung der Kostenmiete für Wohnungen ist, die nach § 24 des Wohnungsbaugesetzes für das Saarland vor dem 1. Januar 2002 und in Fällen des § 46 Abs. 2 vor dem 1. Januar 2003 gefördert wurden, § 57 Abs. 2 des Wohnungsbaugesetzes für das Saarland.</w:t>
      </w:r>
    </w:p>
    <w:p>
      <w:r>
        <w:t xml:space="preserve">(2) Auf der Grundlage des Wohnungsbaugesetzes für das Saarland wirksame Entscheidungen, die auf seiner Grundlage erlassenen Bestimmungen und sonstige Maßnahmen gelten weiter.</w:t>
      </w:r>
    </w:p>
    <w:p>
      <w:r>
        <w:rPr>
          <w:color w:val="555555"/>
          <w:sz w:val="17"/>
        </w:rPr>
        <w:t xml:space="preserve">Zitiervorschlag: § 49 WoFG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https://recht.nulegal.eu/gesetze/WoFG/49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