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WoFG — Förderung mit Wohnungsfürsorgemitteln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Bei der Vergabe von Fördermitteln für Wohnungen, die für Angehörige des öffentlichen Dienstes oder ähnlicher Personengruppen aus öffentlichen Haushalten und Zweckvermögen unter Vereinbarung eines Wohnungsbesetzungsrechts unmittelbar oder mittelbar zur Verfügung gestellt werden (Wohnungsfürsorgemittel), findet § 28 entsprechende Anwendung.</w:t>
      </w:r>
    </w:p>
    <w:p>
      <w:r>
        <w:t xml:space="preserve">(2) Auf die nach Absatz 1 geförderten Wohnungen sind die §§ 34 bis 37 und die hierzu ergangenen landesrechtlichen Vorschriften über die Erhebung von Ausgleichszahlungen mit folgenden Maßgaben anzuwenden:</w:t>
      </w:r>
    </w:p>
    <w:p>
      <w:pPr>
        <w:ind w:left="420"/>
      </w:pPr>
      <w:r>
        <w:t xml:space="preserve">1. Für diese Wohnungen sind die landesrechtlichen Vorschriften des Landes, in dem die geförderten Wohnungen liegen, maßgeblich.</w:t>
      </w:r>
    </w:p>
    <w:p>
      <w:pPr>
        <w:ind w:left="420"/>
      </w:pPr>
      <w:r>
        <w:t xml:space="preserve">2. Die eingezogenen Ausgleichszahlungen stehen den öffentlichen Haushalten oder Zweckvermögen zu, aus denen die Fördermittel verausgabt wurden; sie sind zur Förderung von Wohnungen nach Absatz 1 zu verwenden, soweit hierfür ein Bedarf besteht, im Übrigen für die soziale Wohnraumförderung. Sind für die Wohnungen auch Mittel der sozialen Wohnraumförderung eingesetzt worden, stehen die Einnahmen aus den Ausgleichszahlungen dem jeweiligen öffentlichen Haushalt oder Zweckvermögen, aus dem die Wohnungsfürsorgemittel verausgabt worden sind, nur zu, wenn im Zeitpunkt der Bewilligung oder Förderzusage die Förderung mit Wohnungsfürsorgemitteln dem Betrage nach überwogen hat.</w:t>
      </w:r>
    </w:p>
    <w:p>
      <w:r>
        <w:rPr>
          <w:color w:val="555555"/>
          <w:sz w:val="17"/>
        </w:rPr>
        <w:t xml:space="preserve">Zitiervorschlag: § 45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