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WoFG — Sonderregelungen für einzelne Länder</w:t>
      </w:r>
    </w:p>
    <w:p>
      <w:r>
        <w:rPr>
          <w:color w:val="555555"/>
          <w:sz w:val="18"/>
        </w:rPr>
        <w:t xml:space="preserve">Wohnraumförderungsgesetz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dem in Artikel 3 des Einigungsvertrags genannten Gebiet gelten:</w:t>
      </w:r>
    </w:p>
    <w:p>
      <w:pPr>
        <w:ind w:left="420"/>
      </w:pPr>
      <w:r>
        <w:t xml:space="preserve">1. Fördergegenstand ist bis zum 31. Dezember 2008 in Ergänzung des § 2 Abs. 1 auch die Instandsetzung vorhandener Wohnungen.</w:t>
      </w:r>
    </w:p>
    <w:p>
      <w:pPr>
        <w:ind w:left="420"/>
      </w:pPr>
      <w:r>
        <w:t xml:space="preserve">2. Bei der Förderung der Modernisierung und, soweit sie nach Nummer 1 Fördergegenstand ist, der Instandsetzung von Mietwohnungen kann von der Begründung von Belegungsbindungen abgesehen werden, soweit in dem Gebiet auf Grund von nach § 12 Abs. 2 Satz 1 und 2 und § 13 des Altschuldenhilfe-Gesetzes erlassenen landesrechtlichen Vorschriften genügend Wohnungen belegungsgebunden sind.</w:t>
      </w:r>
    </w:p>
    <w:p>
      <w:r>
        <w:rPr>
          <w:color w:val="555555"/>
          <w:sz w:val="17"/>
        </w:rPr>
        <w:t xml:space="preserve">Zitiervorschlag: § 44 WoFG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https://recht.nulegal.eu/gesetze/WoFG/44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