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WoFG — Wegfall und Minderung der Ausgleichszahlung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Verpflichtung zur Leistung einer Ausgleichszahlung erlischt, sobald die Wohnung nicht mehr der Mietbindung unterliegt oder von keinem der Mieter mehr genutzt wird.</w:t>
      </w:r>
    </w:p>
    <w:p>
      <w:r>
        <w:t xml:space="preserve">(2) Die Zahlungspflicht ist auf Antrag mit Wirkung vom ersten Tag des auf den Antrag folgenden Kalendermonats an auf den Betrag herabzusetzen, der den Verhältnissen im Zeitpunkt des Antrags entspricht, wenn dieser Betrag niedriger ist, weil</w:t>
      </w:r>
    </w:p>
    <w:p>
      <w:pPr>
        <w:ind w:left="420"/>
      </w:pPr>
      <w:r>
        <w:t xml:space="preserve">1. das Gesamteinkommen die nach Absatz 2 oder auf Grund des Absatzes 3 des § 9 maßgebliche Einkommensgrenze unterschreitet,</w:t>
      </w:r>
    </w:p>
    <w:p>
      <w:pPr>
        <w:ind w:left="420"/>
      </w:pPr>
      <w:r>
        <w:t xml:space="preserve">2. sich das Gesamteinkommen um mehr als 15 Prozent verringert hat,</w:t>
      </w:r>
    </w:p>
    <w:p>
      <w:pPr>
        <w:ind w:left="420"/>
      </w:pPr>
      <w:r>
        <w:t xml:space="preserve">3. sich die Zahl der Haushaltsangehörigen und der die Wohnung nicht nur vorübergehend nutzenden sonstigen Personen erhöht hat oder</w:t>
      </w:r>
    </w:p>
    <w:p>
      <w:pPr>
        <w:ind w:left="420"/>
      </w:pPr>
      <w:r>
        <w:t xml:space="preserve">4. sich die Miete nach § 28 Abs. 1 Satz 1 um mehr als 15 Prozent erhöht hat.</w:t>
      </w:r>
    </w:p>
    <w:p>
      <w:r>
        <w:t xml:space="preserve">Die Herabsetzung nach Satz 1 soll rückwirkend erfolgen, wenn das die Herabsetzung begründende Ereignis durch eine amtliche Bescheinigung nachgewiesen wird und diese Bescheinigung erst zu einem späteren Zeitpunkt beigebracht werden kann. Der Antrag kann in den Fällen des Satzes 1 nur bis sechs Monate vor Ablauf des Leistungszeitraums, im Fall des Satzes 2 nur bis zum Ablauf des Leistungszeitraums gestellt werden. Die Länder können zur Vermeidung eines unvertretbaren Verwaltungsaufwands von Satz 1 abweichende Bestimmungen erlassen.</w:t>
      </w:r>
    </w:p>
    <w:p>
      <w:r>
        <w:rPr>
          <w:color w:val="555555"/>
          <w:sz w:val="17"/>
        </w:rPr>
        <w:t xml:space="preserve">Zitiervorschlag: § 37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