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WoFG — Höhe der Ausgleichszahlung und Leistungszeitraum</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Die Länder bestimmen</w:t>
      </w:r>
    </w:p>
    <w:p>
      <w:pPr>
        <w:ind w:left="420"/>
      </w:pPr>
      <w:r>
        <w:t xml:space="preserve">1. den monatlichen Höchstbetrag je Quadratmeter Wohnfläche, auf den die Ausgleichszahlung festgesetzt werden kann,</w:t>
      </w:r>
    </w:p>
    <w:p>
      <w:pPr>
        <w:ind w:left="420"/>
      </w:pPr>
      <w:r>
        <w:t xml:space="preserve">2. die Höhe der nach dem Gesamteinkommen des Haushalts zu staffelnden monatlichen Ausgleichszahlung je Quadratmeter Wohnfläche sowie</w:t>
      </w:r>
    </w:p>
    <w:p>
      <w:pPr>
        <w:ind w:left="420"/>
      </w:pPr>
      <w:r>
        <w:t xml:space="preserve">3. den Leistungszeitraum, für den die Ausgleichszahlung erhoben wird, und den Beginn der Leistungspflicht.</w:t>
      </w:r>
    </w:p>
    <w:p>
      <w:r>
        <w:t xml:space="preserve">(2) Der Gesamtbetrag aus höchstzulässiger Miete und Ausgleichszahlung darf die ortsübliche Vergleichsmiete im Sinne des § 558 Abs. 2 des Bürgerlichen Gesetzbuchs nicht überschreiten.</w:t>
      </w:r>
    </w:p>
    <w:p>
      <w:r>
        <w:t xml:space="preserve">(3) Die Länder können zum Zwecke der Begrenzung der Ausgleichszahlung durch ortsübliche Vergleichsmieten nach Absatz 2 Höchstbeträge bestimmen. Sie können hierfür</w:t>
      </w:r>
    </w:p>
    <w:p>
      <w:pPr>
        <w:ind w:left="420"/>
      </w:pPr>
      <w:r>
        <w:t xml:space="preserve">1. Beträge bis zum Mittelwert der in einem Mietspiegel enthaltenen Mietspanne oder bis zu den in einem Mietspiegel enthaltenen Festbeträgen für Wohnungen vergleichbarer Art, Größe, Ausstattung, Beschaffenheit und Lage oder,</w:t>
      </w:r>
    </w:p>
    <w:p>
      <w:pPr>
        <w:ind w:left="420"/>
      </w:pPr>
      <w:r>
        <w:t xml:space="preserve">2. wenn ein Mietspiegel nicht besteht oder keine entsprechenden Angaben enthält, die nach statistischen Erhebungen und deren Fortschreibung oder sonstigen Erkenntnismitteln erfahrungsgemäß zu erzielenden Entgelte für Wohnungen vergleichbarer Art, Größe, Ausstattung, Beschaffenheit und Lage nach Gemeinden unterschiedlich</w:t>
      </w:r>
    </w:p>
    <w:p>
      <w:r>
        <w:t xml:space="preserve">festlegen. Sie können auch bestimmen, dass bei der Festsetzung der Ausgleichszahlung bestimmte eigene Leistungen des Mieters und der sich hieraus ergebende Mietvorteil zu seinen Gunsten berücksichtigt werden.</w:t>
      </w:r>
    </w:p>
    <w:p>
      <w:r>
        <w:rPr>
          <w:color w:val="555555"/>
          <w:sz w:val="17"/>
        </w:rPr>
        <w:t xml:space="preserve">Zitiervorschlag: § 36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