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WoFG — Übertragung von Belegungs- und Mietbindungen</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Die zuständige Stelle kann mit dem Verfügungsberechtigten vereinbaren, dass die Belegungs- und Mietbindungen von geförderten Wohnungen (Förderwohnungen) auf Ersatzwohnungen des Verfügungsberechtigten übergehen, wenn</w:t>
      </w:r>
    </w:p>
    <w:p>
      <w:pPr>
        <w:ind w:left="420"/>
      </w:pPr>
      <w:r>
        <w:t xml:space="preserve">1. dies der Schaffung oder Erhaltung sozial stabiler Bewohnerstrukturen dient oder aus anderen Gründen der örtlichen wohnungswirtschaftlichen Verhältnisse geboten ist und</w:t>
      </w:r>
    </w:p>
    <w:p>
      <w:pPr>
        <w:ind w:left="420"/>
      </w:pPr>
      <w:r>
        <w:t xml:space="preserve">2. Förderwohnungen und Ersatzwohnungen unter Berücksichtigung des Förderzwecks gleichwertig sind und</w:t>
      </w:r>
    </w:p>
    <w:p>
      <w:pPr>
        <w:ind w:left="420"/>
      </w:pPr>
      <w:r>
        <w:t xml:space="preserve">3. sichergestellt ist, dass zum Zeitpunkt des Übergangs die Wohnungen bezugsfertig oder frei sind.</w:t>
      </w:r>
    </w:p>
    <w:p>
      <w:r>
        <w:t xml:space="preserve">(2) Gegenstand der Vereinbarung können ohne Vorliegen der Voraussetzungen des Absatzes 1 Nr. 2 auch Änderungen der Belegungs- und Mietbindungen, insbesondere deren Anzahl, Dauer, Art oder Höhe sein, wenn die Änderungen unter Berücksichtigung der maßgeblichen Umstände, insbesondere des Wohnwerts der Wohnungen, nicht zu einem mehr als nur unerheblichen wirtschaftlichen Vorteil des Verfügungsberechtigten führen.</w:t>
      </w:r>
    </w:p>
    <w:p>
      <w:r>
        <w:t xml:space="preserve">(3) In der Vereinbarung sind weitere zum Übergang und zur Änderung der Belegungs- und Mietbindungen sowie zu sonstigen in der Förderzusage festgelegten Berechtigungen und Verpflichtungen erforderliche Bestimmungen zu treffen, namentlich zum Zeitpunkt des Übergangs. Mit dem Zeitpunkt des Übergangs gelten die Ersatzwohnungen als geförderte Wohnungen im Sinne der Förderzusage; auf die Ersatzwohnungen sind die Vorschriften dieses und des vierten Abschnitts anzuwenden.</w:t>
      </w:r>
    </w:p>
    <w:p>
      <w:r>
        <w:t xml:space="preserve">(4) Sind gewährte Fördermittel durch dingliche Rechte am Grundstück der Förderwohnungen gesichert, können die zuständige Stelle, der Verfügungsberechtigte und der Gläubiger vereinbaren, dass die dinglichen Rechte aufgehoben und am Grundstück der Ersatzwohnungen neu bestellt werden.</w:t>
      </w:r>
    </w:p>
    <w:p>
      <w:r>
        <w:rPr>
          <w:color w:val="555555"/>
          <w:sz w:val="17"/>
        </w:rPr>
        <w:t xml:space="preserve">Zitiervorschlag: § 31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