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WoFG — Freistellung von Belegungsbindungen</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Die zuständige Stelle kann den Verfügungsberechtigten von den Verpflichtungen nach § 27 Abs. 1 und 7 Satz 1 freistellen, wenn und soweit</w:t>
      </w:r>
    </w:p>
    <w:p>
      <w:pPr>
        <w:ind w:left="420"/>
      </w:pPr>
      <w:r>
        <w:t xml:space="preserve">1. nach den örtlichen wohnungswirtschaftlichen Verhältnissen ein überwiegendes öffentliches Interesse an den Bindungen nicht mehr besteht oder</w:t>
      </w:r>
    </w:p>
    <w:p>
      <w:pPr>
        <w:ind w:left="420"/>
      </w:pPr>
      <w:r>
        <w:t xml:space="preserve">2. an der Freistellung ein überwiegendes öffentliches Interesse besteht oder</w:t>
      </w:r>
    </w:p>
    <w:p>
      <w:pPr>
        <w:ind w:left="420"/>
      </w:pPr>
      <w:r>
        <w:t xml:space="preserve">3. die Freistellung der Schaffung oder Erhaltung sozial stabiler Bewohnerstrukturen dient oder</w:t>
      </w:r>
    </w:p>
    <w:p>
      <w:pPr>
        <w:ind w:left="420"/>
      </w:pPr>
      <w:r>
        <w:t xml:space="preserve">4. an der Freistellung ein überwiegendes berechtigtes Interesse des Verfügungsberechtigten oder eines Dritten besteht</w:t>
      </w:r>
    </w:p>
    <w:p>
      <w:r>
        <w:t xml:space="preserve">und für die Freistellung ein Ausgleich dadurch erfolgt, dass der Verfügungsberechtigte der zuständigen Stelle das Belegungsrecht für Ersatzwohnungen, die bezugsfertig oder frei sind, für die Dauer der Freistellung vertraglich einräumt oder einen Geldausgleich in angemessener Höhe oder einen sonstigen Ausgleich in angemessener Art und Weise leistet.</w:t>
      </w:r>
    </w:p>
    <w:p>
      <w:r>
        <w:t xml:space="preserve">(2) Freistellungen können für bestimmte Wohnungen, für Wohnungen bestimmter Art oder für Wohnungen in bestimmten Gebieten erteilt werden.</w:t>
      </w:r>
    </w:p>
    <w:p>
      <w:r>
        <w:t xml:space="preserve">(3) Bei einer Freistellung kann von einem Ausgleich abgesehen werden, wenn und soweit die Freistellung im überwiegenden öffentlichen Interesse erteilt wird.</w:t>
      </w:r>
    </w:p>
    <w:p>
      <w:r>
        <w:rPr>
          <w:color w:val="555555"/>
          <w:sz w:val="17"/>
        </w:rPr>
        <w:t xml:space="preserve">Zitiervorschlag: § 30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