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WoFG — Dauer der Belegungs- und Mietbindungen</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Die Dauer der Belegungs- und Mietbindungen ist in der Förderzusage durch Festlegung einer Frist zu bestimmen; bei der Gewährung von Darlehen sind Bestimmungen über die Dauer der Bindungen bei vorzeitiger vollständiger Rückzahlung der Darlehen zu treffen, die dem mit dem Einsatz der Fördermittel verfolgten Förderzweck Rechnung tragen. Die Bindungen bleiben bestehen</w:t>
      </w:r>
    </w:p>
    <w:p>
      <w:pPr>
        <w:ind w:left="420"/>
      </w:pPr>
      <w:r>
        <w:t xml:space="preserve">1. bei Rückzahlung der Darlehen auf Grund einer Kündigung wegen Verstoßes gegen Bestimmungen der Förderzusage bis zu dem in der Förderzusage bestimmten Ende der Bindungen, längstens jedoch bis zum Ablauf des zwölften Kalenderjahres nach dem Jahr der Rückzahlung,</w:t>
      </w:r>
    </w:p>
    <w:p>
      <w:pPr>
        <w:ind w:left="420"/>
      </w:pPr>
      <w:r>
        <w:t xml:space="preserve">2. bei einer Zwangsversteigerung des Grundstücks bis zu dem in der Förderzusage bestimmten Ende der Bindungen, längstens jedoch bis zum Ablauf des dritten Kalenderjahres nach dem Kalenderjahr, in dem der Zuschlag erteilt worden ist und die auf Grund der Darlehensförderung begründeten Grundpfandrechte mit dem Zuschlag erloschen sind.</w:t>
      </w:r>
    </w:p>
    <w:p>
      <w:r>
        <w:t xml:space="preserve">Bei der Gewährung von Zuschüssen bleiben die Bindungen im Fall der Rückforderung der Zuschüsse wegen Verstoßes gegen die Bestimmungen der Förderzusage längstens zwölf Kalenderjahre nach dem Jahr der Rückzahlung, im Fall der Zwangsversteigerung des Grundstücks bis zum Zuschlag bestehen.</w:t>
      </w:r>
    </w:p>
    <w:p>
      <w:r>
        <w:t xml:space="preserve">(2) Die zuständige Stelle hat auf Antrag dem Verfügungsberechtigten und bei berechtigtem Interesse auch einem Wohnungssuchenden und dem Mieter schriftlich zu bestätigen, wie lange die Belegungs- und Mietbindungen dauern. Die Bestätigung ist gegenüber dem Verfügungsberechtigten und dem Mieter in tatsächlicher und rechtlicher Hinsicht verbindlich.</w:t>
      </w:r>
    </w:p>
    <w:p>
      <w:r>
        <w:rPr>
          <w:color w:val="555555"/>
          <w:sz w:val="17"/>
        </w:rPr>
        <w:t xml:space="preserve">Zitiervorschlag: § 29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