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WoFG — Anwendungsbereich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Mietwohnraum unterliegt den in der Förderzusage nach § 13 Abs. 2 bestimmten Bindungen, insbesondere Belegungs- und Mietbindungen. Auf diese Bestimmungen sind die §§ 26 bis 33 und 52 anzuwenden.</w:t>
      </w:r>
    </w:p>
    <w:p>
      <w:r>
        <w:t xml:space="preserve">(2) Selbst genutztes Wohneigentum unterliegt den in der Förderzusage nach § 13 Abs. 2 bestimmten Bindungen. Auf diese Bestimmungen sind § 27 Abs. 7 Satz 1 Nr. 2 und 3 und Satz 3 bis 5 sowie Abs. 8, § 32 Abs. 1, 2 und 4 sowie die §§ 33 und 52 entsprechend anzuwenden.</w:t>
      </w:r>
    </w:p>
    <w:p>
      <w:r>
        <w:rPr>
          <w:color w:val="555555"/>
          <w:sz w:val="17"/>
        </w:rPr>
        <w:t xml:space="preserve">Zitiervorschlag: § 25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