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WoFG — Gesamteinkommen</w:t>
      </w:r>
    </w:p>
    <w:p>
      <w:r>
        <w:rPr>
          <w:color w:val="555555"/>
          <w:sz w:val="18"/>
        </w:rPr>
        <w:t xml:space="preserve">Wohnraumförderungsgesetz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Maßgebendes Einkommen ist das Gesamteinkommen des Haushalts. Gesamteinkommen des Haushalts im Sinne dieses Gesetzes ist die Summe der Jahreseinkommen der Haushaltsangehörigen abzüglich der Frei- und Abzugsbeträge nach § 24. Maßgebend sind die Verhältnisse im Zeitpunkt der Antragstellung.</w:t>
      </w:r>
    </w:p>
    <w:p>
      <w:r>
        <w:rPr>
          <w:color w:val="555555"/>
          <w:sz w:val="17"/>
        </w:rPr>
        <w:t xml:space="preserve">Zitiervorschlag: § 20 WoFG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https://recht.nulegal.eu/gesetze/WoFG/20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