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WoFG — Haushaltsangehörige</w:t>
      </w:r>
    </w:p>
    <w:p>
      <w:r>
        <w:rPr>
          <w:color w:val="555555"/>
          <w:sz w:val="18"/>
        </w:rPr>
        <w:t xml:space="preserve">Wohnraumförderungsgesetz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Zum Haushalt rechnen die in Absatz 2 bezeichneten Personen, die miteinander eine Wohn- und Wirtschaftsgemeinschaft führen (Haushaltsangehörige). Zum Haushalt rechnen auch Personen im Sinne des Absatzes 2, die alsbald in den Haushalt aufgenommen werden sollen.</w:t>
      </w:r>
    </w:p>
    <w:p>
      <w:r>
        <w:t xml:space="preserve">(2) Haushaltsangehörige sind:</w:t>
      </w:r>
    </w:p>
    <w:p>
      <w:pPr>
        <w:ind w:left="420"/>
      </w:pPr>
      <w:r>
        <w:t xml:space="preserve">1. der Antragsteller,</w:t>
      </w:r>
    </w:p>
    <w:p>
      <w:pPr>
        <w:ind w:left="420"/>
      </w:pPr>
      <w:r>
        <w:t xml:space="preserve">2. der Ehegatte,</w:t>
      </w:r>
    </w:p>
    <w:p>
      <w:pPr>
        <w:ind w:left="420"/>
      </w:pPr>
      <w:r>
        <w:t xml:space="preserve">3. der Lebenspartner und</w:t>
      </w:r>
    </w:p>
    <w:p>
      <w:pPr>
        <w:ind w:left="420"/>
      </w:pPr>
      <w:r>
        <w:t xml:space="preserve">4. der Partner einer sonstigen auf Dauer angelegten Lebensgemeinschaft</w:t>
      </w:r>
    </w:p>
    <w:p>
      <w:r>
        <w:t xml:space="preserve">sowie deren Verwandte in gerader Linie und zweiten Grades in der Seitenlinie, Verschwägerte in gerader Linie und zweiten Grades in der Seitenlinie, Pflegekinder ohne Rücksicht auf ihr Alter und Pflegeeltern.</w:t>
      </w:r>
    </w:p>
    <w:p>
      <w:r>
        <w:rPr>
          <w:color w:val="555555"/>
          <w:sz w:val="17"/>
        </w:rPr>
        <w:t xml:space="preserve">Zitiervorschlag: § 18 WoFG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https://recht.nulegal.eu/gesetze/WoFG/18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