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WoFG — Zweck, Beteiligte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Gemeinden, Gemeindeverbände und sonstige öffentliche Stellen können mit Eigentümern oder sonstigen Verfügungsberechtigten von Wohnraum Vereinbarungen über Angelegenheiten der örtlichen Wohnraumversorgung treffen (Kooperationsverträge), insbesondere zur Unterstützung von Maßnahmen der sozialen Wohnraumversorgung einschließlich der Verbesserung der Wohnverhältnisse sowie der Schaffung oder Erhaltung sozial stabiler Bewohnerstrukturen.</w:t>
      </w:r>
    </w:p>
    <w:p>
      <w:r>
        <w:t xml:space="preserve">(2) In die Vereinbarungen können Dritte, insbesondere öffentliche und private Träger sozialer Aufgaben und andere mit der Durchführung des Kooperationsvertrags Beauftragte, einbezogen werden. Soweit durch Vereinbarungen die Aufgaben der nach § 3 Abs. 2 Satz 3 zuständigen Stellen berührt werden, sind diese Stellen zu beteiligen.</w:t>
      </w:r>
    </w:p>
    <w:p>
      <w:r>
        <w:rPr>
          <w:color w:val="555555"/>
          <w:sz w:val="17"/>
        </w:rPr>
        <w:t xml:space="preserve">Zitiervorschlag: § 14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