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WoFG — Förderzusage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Förderung wird auf Antrag durch eine Förderzusage der zuständigen Stelle gewährt.</w:t>
      </w:r>
    </w:p>
    <w:p>
      <w:r>
        <w:t xml:space="preserve">(2) In der Förderzusage sind Bestimmungen zu treffen</w:t>
      </w:r>
    </w:p>
    <w:p>
      <w:pPr>
        <w:ind w:left="420"/>
      </w:pPr>
      <w:r>
        <w:t xml:space="preserve">1. über Zweckbestimmung, Einsatzart und Höhe der Förderung, Dauer der Gewährung, Verzinsung und Tilgung der Fördermittel, Einhaltung von Einkommensgrenzen und Wohnungsgrößen, Rechtsfolgen eines Eigentumswechsels an dem geförderten Gegenstand sowie</w:t>
      </w:r>
    </w:p>
    <w:p>
      <w:pPr>
        <w:ind w:left="420"/>
      </w:pPr>
      <w:r>
        <w:t xml:space="preserve">2. bei der Förderung von Mietwohnraum zusätzlich unter Anwendung des Abschnitts 3 des Teils 2 über Gegenstand, Art und Dauer der Belegungsbindungen sowie Art, Höhe und Dauer der Mietbindungen.</w:t>
      </w:r>
    </w:p>
    <w:p>
      <w:r>
        <w:t xml:space="preserve">In die Förderzusage können weitere für den jeweiligen Förderzweck erforderliche Bestimmungen aufgenommen werden.</w:t>
      </w:r>
    </w:p>
    <w:p>
      <w:r>
        <w:t xml:space="preserve">(3) Die Förderzusage erfolgt durch Verwaltungsakt oder durch öffentlich-rechtlichen Vertrag; sie bedarf der Schriftform. Die sich aus der Förderzusage ergebenden Berechtigungen und Verpflichtungen gehen nach den in der Förderzusage für den Fall des Eigentumswechsels enthaltenen Bestimmungen auf den Rechtsnachfolger über.</w:t>
      </w:r>
    </w:p>
    <w:p>
      <w:r>
        <w:t xml:space="preserve">(4) Ein Anspruch auf Förderung besteht nicht.</w:t>
      </w:r>
    </w:p>
    <w:p>
      <w:r>
        <w:rPr>
          <w:color w:val="555555"/>
          <w:sz w:val="17"/>
        </w:rPr>
        <w:t xml:space="preserve">Zitiervorschlag: § 13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