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WoFG — Förderempfänger</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Empfänger der Förderung ist</w:t>
      </w:r>
    </w:p>
    <w:p>
      <w:pPr>
        <w:ind w:left="420"/>
      </w:pPr>
      <w:r>
        <w:t xml:space="preserve">1. bei Maßnahmen des Wohnungsbaus und der Modernisierung derjenige, der das Bauvorhaben für eigene oder fremde Rechnung im eigenen Namen durchführt oder durch Dritte durchführen lässt (Bauherr),</w:t>
      </w:r>
    </w:p>
    <w:p>
      <w:pPr>
        <w:ind w:left="420"/>
      </w:pPr>
      <w:r>
        <w:t xml:space="preserve">2. beim Ersterwerb vom Bauherrn zur Selbstnutzung der Erwerber des Wohnraums,</w:t>
      </w:r>
    </w:p>
    <w:p>
      <w:pPr>
        <w:ind w:left="420"/>
      </w:pPr>
      <w:r>
        <w:t xml:space="preserve">3. beim Erwerb aus dem Bestand zur Selbstnutzung der Erwerber des Wohnraums,</w:t>
      </w:r>
    </w:p>
    <w:p>
      <w:pPr>
        <w:ind w:left="420"/>
      </w:pPr>
      <w:r>
        <w:t xml:space="preserve">4. beim Erwerb von Belegungsrechten der Eigentümer oder der sonstige zur Einräumung von Belegungsrechten an dem Wohnraum Berechtigte.</w:t>
      </w:r>
    </w:p>
    <w:p>
      <w:r>
        <w:t xml:space="preserve">(2) Soweit Fördermittel an einen Bauträger vergeben werden, ist die Vergabe mit der Auflage zu verbinden, dass der Bauträger den geförderten Wohnraum zu angemessenen Bedingungen dem Erwerber alsbald zur Selbstnutzung überträgt.</w:t>
      </w:r>
    </w:p>
    <w:p>
      <w:r>
        <w:t xml:space="preserve">(3) Die Gewährung von Fördermitteln setzt voraus, dass</w:t>
      </w:r>
    </w:p>
    <w:p>
      <w:pPr>
        <w:ind w:left="420"/>
      </w:pPr>
      <w:r>
        <w:t xml:space="preserve">1. der Bauherr Eigentümer eines geeigneten Baugrundstücks ist oder nachweist, dass der Erwerb eines derartigen Grundstücks gesichert ist oder durch die Gewährung der Fördermittel gesichert wird,</w:t>
      </w:r>
    </w:p>
    <w:p>
      <w:pPr>
        <w:ind w:left="420"/>
      </w:pPr>
      <w:r>
        <w:t xml:space="preserve">2. die Gewähr für eine ordnungsmäßige und wirtschaftliche Durchführung des Bauvorhabens und für eine ordnungsmäßige Verwaltung des Wohnraums besteht,</w:t>
      </w:r>
    </w:p>
    <w:p>
      <w:pPr>
        <w:ind w:left="420"/>
      </w:pPr>
      <w:r>
        <w:t xml:space="preserve">3. der Bauherr die erforderliche Leistungsfähigkeit und Zuverlässigkeit besitzt,</w:t>
      </w:r>
    </w:p>
    <w:p>
      <w:pPr>
        <w:ind w:left="420"/>
      </w:pPr>
      <w:r>
        <w:t xml:space="preserve">4. bei der Förderung von selbst genutztem Wohneigentum die Belastung auf Dauer tragbar erscheint und</w:t>
      </w:r>
    </w:p>
    <w:p>
      <w:pPr>
        <w:ind w:left="420"/>
      </w:pPr>
      <w:r>
        <w:t xml:space="preserve">5. der Bauherr eine angemessene Eigenleistung erbringt, für die eigene Geldmittel, der Wert des nicht durch Fremdmittel finanzierten Baugrundstücks oder Selbsthilfe im Sinne des § 12 Abs. 1 Satz 2 in Betracht kommen.</w:t>
      </w:r>
    </w:p>
    <w:p>
      <w:r>
        <w:t xml:space="preserve">Fördermittel können auch einem Bauherrn oder einem sonstigen Förderempfänger gewährt werden, für den an einem geeigneten Grundstück ein Erbbaurecht von angemessener Dauer bestellt ist oder der nachweist, dass der Erwerb eines derartigen Erbbaurechts gesichert ist.</w:t>
      </w:r>
    </w:p>
    <w:p>
      <w:r>
        <w:rPr>
          <w:color w:val="555555"/>
          <w:sz w:val="17"/>
        </w:rPr>
        <w:t xml:space="preserve">Zitiervorschlag: § 11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