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WoFG — Wohnungsgrößen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Bei Bestimmungen der Länder über die Grenzen für Wohnungsgrößen sind folgende Grundsätze zu berücksichtigen:</w:t>
      </w:r>
    </w:p>
    <w:p>
      <w:pPr>
        <w:ind w:left="420"/>
      </w:pPr>
      <w:r>
        <w:t xml:space="preserve">1. Die Größe der zu fördernden Wohnung muss entsprechend ihrer Zweckbestimmung angemessen sein.</w:t>
      </w:r>
    </w:p>
    <w:p>
      <w:pPr>
        <w:ind w:left="420"/>
      </w:pPr>
      <w:r>
        <w:t xml:space="preserve">2. Besonderheiten bei Maßnahmen im Gebäudebestand und bei selbst genutztem Wohneigentum sowie besonderen persönlichen oder beruflichen Bedürfnissen von Haushaltsangehörigen und einem nach der Lebenserfahrung in absehbarer Zeit zu erwartenden zusätzlichen Raumbedarf ist Rechnung zu tragen.</w:t>
      </w:r>
    </w:p>
    <w:p>
      <w:r>
        <w:t xml:space="preserve">(2) Bei der Berechnung der Wohnfläche ist § 19 Abs. 1 anzuwenden.</w:t>
      </w:r>
    </w:p>
    <w:p>
      <w:r>
        <w:rPr>
          <w:color w:val="555555"/>
          <w:sz w:val="17"/>
        </w:rPr>
        <w:t xml:space="preserve">Zitiervorschlag: § 10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