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WoEinsparVertV (Brandenburg) — Inkrafttreten</w:t>
      </w:r>
    </w:p>
    <w:p>
      <w:r>
        <w:rPr>
          <w:color w:val="555555"/>
          <w:sz w:val="18"/>
        </w:rPr>
        <w:t xml:space="preserve">Wohngeldeinsparungsverteilverordnung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20. Dezember 2020 in Kraft.</w:t>
      </w:r>
    </w:p>
    <w:p>
      <w:r>
        <w:t xml:space="preserve">Einzelnorm</w:t>
      </w:r>
    </w:p>
    <w:p>
      <w:r>
        <w:t xml:space="preserve">Potsdam, den 15. März 2021</w:t>
      </w:r>
    </w:p>
    <w:p>
      <w:r>
        <w:t xml:space="preserve">Die Ministerin der Finanzen und für Europa</w:t>
      </w:r>
    </w:p>
    <w:p>
      <w:r>
        <w:t xml:space="preserve">Katrin Lange</w:t>
      </w:r>
    </w:p>
    <w:p>
      <w:r>
        <w:rPr>
          <w:color w:val="555555"/>
          <w:sz w:val="17"/>
        </w:rPr>
        <w:t xml:space="preserve">Zitiervorschlag: § 3 WoEinsparVertV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https://recht.nulegal.eu/gesetze/WoEinsparVertV/3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WoEinsparVertV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