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WoEinsparVertV (Brandenburg) — Verteilung</w:t>
      </w:r>
    </w:p>
    <w:p>
      <w:r>
        <w:rPr>
          <w:color w:val="555555"/>
          <w:sz w:val="18"/>
        </w:rPr>
        <w:t xml:space="preserve">Wohngeldeinsparungsverteilverordnung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Mittel nach § 24a Satz 1 und 2 des Brandenburgischen Finanzausgleichsgesetzes werden jeweils hälftig nach den Kosten der Unterkunft und Heizung gemäß § 22 des Zweiten Buches Sozialgesetzbuch und nach der Anzahl der Bedarfsgemeinschaften nach dem Zweiten Buch Sozialgesetzbuch auf die Landkreise und kreisfreien Städte aufgeteilt.</w:t>
      </w:r>
    </w:p>
    <w:p>
      <w:r>
        <w:t xml:space="preserve">(2) Als Bemessungsgrundlage für die Anzahl der Bedarfsgemeinschaften gelten die von der Bundesagentur für Arbeit nach § 53 des Zweiten Buches Sozialgesetzbuch zum Zeitpunkt der Festsetzung veröffentlichten Statistiken. Dabei wird für das Ausgleichsjahr das arithmetische Mittel aus den Monatswerten des jeweiligen Ausgleichsjahres gebildet. Bei den Kosten der Unterkunft und Heizung wird auf die Daten vom 1. Januar bis zum 31. Dezember nach den Ergebnissen der Vierteljahresstatistik der Gemeindefinanzen für das jeweilige Jahr abgestellt.</w:t>
      </w:r>
    </w:p>
    <w:p>
      <w:r>
        <w:t xml:space="preserve">Einzelnorm</w:t>
      </w:r>
    </w:p>
    <w:p>
      <w:r>
        <w:rPr>
          <w:color w:val="555555"/>
          <w:sz w:val="17"/>
        </w:rPr>
        <w:t xml:space="preserve">Zitiervorschlag: § 1 WoEinsparVertV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https://recht.nulegal.eu/gesetze/WoEinsparVertV/1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