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WoEigVfg</w:t>
      </w:r>
    </w:p>
    <w:p>
      <w:r>
        <w:rPr>
          <w:color w:val="555555"/>
          <w:sz w:val="18"/>
        </w:rPr>
        <w:t xml:space="preserve">Wohnungsgrundbuchverfügung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nähere Einrichtung der Wohnungs- und Teileigentumsgrundbücher sowie der Wohnungs- und Teilerbbaugrundbücher ergibt sich aus den als Anlagen 1 und 3 beigefügten Mustern. Für den Inhalt eines Hypothekenbriefs bei der Aufteilung des Eigentums am belasteten Grundstück in Wohnungseigentumsrechte nach § 8 des Wohnungseigentumsgesetzes dient die Anlage 4 als Muster. Die in den Anlagen befindlichen Probeeintragungen sind als Beispiele nicht Teil dieser Verfügung.</w:t>
      </w:r>
    </w:p>
    <w:p>
      <w:r>
        <w:rPr>
          <w:color w:val="555555"/>
          <w:sz w:val="17"/>
        </w:rPr>
        <w:t xml:space="preserve">Zitiervorschlag: § 9 WoEigVfg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https://recht.nulegal.eu/gesetze/WoEigVfg/9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