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WoEigVfg</w:t>
      </w:r>
    </w:p>
    <w:p>
      <w:r>
        <w:rPr>
          <w:color w:val="555555"/>
          <w:sz w:val="18"/>
        </w:rPr>
        <w:t xml:space="preserve">Wohnungsgrundbuchverfügung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Sind gemäß § 7 Abs. 1 oder § 8 Abs. 2 WEG des Wohnungseigentumsgesetzes für die Miteigentumsanteile besondere Grundbuchblätter anzulegen, so werden die Miteigentumsanteile in den Spalten 7 und 8 des Bestandsverzeichnisses des Grundbuchblattes des Grundstücks abgeschrieben. Die Schließung des Grundbuchblatts gemäß § 7 Abs. 1 Satz 3 des Wohnungseigentumsgesetzes unterbleibt, wenn auf dem Grundbuchblatt von der Abschreibung nicht betroffene Grundstücke eingetragen sind.</w:t>
      </w:r>
    </w:p>
    <w:p>
      <w:r>
        <w:rPr>
          <w:color w:val="555555"/>
          <w:sz w:val="17"/>
        </w:rPr>
        <w:t xml:space="preserve">Zitiervorschlag: § 6 WoEigVfg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https://recht.nulegal.eu/gesetze/WoEigVfg/6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