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WoEigVfg</w:t>
      </w:r>
    </w:p>
    <w:p>
      <w:r>
        <w:rPr>
          <w:color w:val="555555"/>
          <w:sz w:val="18"/>
        </w:rPr>
        <w:t xml:space="preserve">Wohnungsgrundbuchverfügung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der Bildung von Hypotheken-, Grundschuld- und Rentenschuldbriefen ist kenntlich zu machen, daß der belastete Gegenstand ein Wohnungseigentum (Teileigentum) ist.</w:t>
      </w:r>
    </w:p>
    <w:p>
      <w:r>
        <w:rPr>
          <w:color w:val="555555"/>
          <w:sz w:val="17"/>
        </w:rPr>
        <w:t xml:space="preserve">Zitiervorschlag: § 5 WoEigVfg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https://recht.nulegal.eu/gesetze/WoEigVfg/5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