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WoEigVfg</w:t>
      </w:r>
    </w:p>
    <w:p>
      <w:r>
        <w:rPr>
          <w:color w:val="555555"/>
          <w:sz w:val="18"/>
        </w:rPr>
        <w:t xml:space="preserve">Wohnungsgrundbuchverfügung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Rechte, die ihrer Natur nach nicht an dem Wohnungseigentum als solchem bestehen können (wie z.B. Wegerechte), sind in Spalte 3 der zweiten Abteilung in der Weise einzutragen, daß die Belastung des ganzen Grundstücks erkennbar ist. Die Belastung ist in sämtlichen für Miteigentumsanteile an dem belasteten Grundstück angelegten Wohnungs- und Teileigentumsgrundbüchern einzutragen, wobei jeweils auf die übrigen Eintragungen zu verweisen ist.</w:t>
      </w:r>
    </w:p>
    <w:p>
      <w:r>
        <w:t xml:space="preserve">(2) Absatz 1 gilt entsprechend für Verfügungsbeschränkungen, die sich auf das Grundstück als Ganzes beziehen.</w:t>
      </w:r>
    </w:p>
    <w:p>
      <w:r>
        <w:rPr>
          <w:color w:val="555555"/>
          <w:sz w:val="17"/>
        </w:rPr>
        <w:t xml:space="preserve">Zitiervorschlag: § 4 WoEigVfg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https://recht.nulegal.eu/gesetze/WoEigVfg/4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