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WoEigG — Vertretung</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Die Gemeinschaft der Wohnungseigentümer wird durch den Verwalter gerichtlich und außergerichtlich vertreten, beim Abschluss eines Grundstückskauf- oder Darlehensvertrags aber nur aufgrund eines Beschlusses der Wohnungseigentümer. Hat die Gemeinschaft der Wohnungseigentümer keinen Verwalter, wird sie durch die Wohnungseigentümer gemeinschaftlich vertreten. Eine Beschränkung des Umfangs der Vertretungsmacht ist Dritten gegenüber unwirksam.</w:t>
      </w:r>
    </w:p>
    <w:p>
      <w:r>
        <w:t xml:space="preserve">(2) Dem Verwalter gegenüber vertritt der Vorsitzende des Verwaltungsbeirats oder ein durch Beschluss dazu ermächtigter Wohnungseigentümer die Gemeinschaft der Wohnungseigentümer.</w:t>
      </w:r>
    </w:p>
    <w:p>
      <w:r>
        <w:rPr>
          <w:color w:val="555555"/>
          <w:sz w:val="17"/>
        </w:rPr>
        <w:t xml:space="preserve">Zitiervorschlag: § 9b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