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9a WoEigG — Gemeinschaft der Wohnungseigentümer</w:t>
      </w:r>
    </w:p>
    <w:p>
      <w:r>
        <w:rPr>
          <w:color w:val="555555"/>
          <w:sz w:val="18"/>
        </w:rPr>
        <w:t xml:space="preserve">Wohnungseigentumsgesetz</w:t>
      </w:r>
    </w:p>
    <w:p>
      <w:r>
        <w:rPr>
          <w:color w:val="555555"/>
          <w:sz w:val="18"/>
        </w:rPr>
        <w:t xml:space="preserve">Stand: 01.01.2024 (konsolidierte Textfassung, kein amtliches Inkrafttretensdatum)</w:t>
      </w:r>
    </w:p>
    <w:p>
      <w:r>
        <w:t xml:space="preserve">(1) Die Gemeinschaft der Wohnungseigentümer kann Rechte erwerben und Verbindlichkeiten eingehen, vor Gericht klagen und verklagt werden. Die Gemeinschaft der Wohnungseigentümer entsteht mit Anlegung der Wohnungsgrundbücher; dies gilt auch im Fall des § 8. Sie führt die Bezeichnung „Gemeinschaft der Wohnungseigentümer“ oder „Wohnungseigentümergemeinschaft” gefolgt von der bestimmten Angabe des gemeinschaftlichen Grundstücks.</w:t>
      </w:r>
    </w:p>
    <w:p>
      <w:r>
        <w:t xml:space="preserve">(2) Die Gemeinschaft der Wohnungseigentümer übt die sich aus dem gemeinschaftlichen Eigentum ergebenden Rechte sowie solche Rechte der Wohnungseigentümer aus, die eine einheitliche Rechtsverfolgung erfordern, und nimmt die entsprechenden Pflichten der Wohnungseigentümer wahr.</w:t>
      </w:r>
    </w:p>
    <w:p>
      <w:r>
        <w:t xml:space="preserve">(3) Für das Vermögen der Gemeinschaft der Wohnungseigentümer (Gemeinschaftsvermögen) gelten § 18, § 19 Absatz 1 und § 27 entsprechend.</w:t>
      </w:r>
    </w:p>
    <w:p>
      <w:r>
        <w:t xml:space="preserve">(4) Jeder Wohnungseigentümer haftet einem Gläubiger nach dem Verhältnis seines Miteigentumsanteils (§ 16 Absatz 1 Satz 2) für Verbindlichkeiten der Gemeinschaft der Wohnungseigentümer, die während seiner Zugehörigkeit entstanden oder während dieses Zeitraums fällig geworden sind; für die Haftung nach Veräußerung des Wohnungseigentums ist § 728b des Bürgerlichen Gesetzbuchs entsprechend anzuwenden. Er kann gegenüber einem Gläubiger neben den in seiner Person begründeten auch die der Gemeinschaft der Wohnungseigentümer zustehenden Einwendungen und Einreden geltend machen, nicht aber seine Einwendungen und Einreden gegenüber der Gemeinschaft der Wohnungseigentümer. Für die Einrede der Anfechtbarkeit und Aufrechenbarkeit ist § 770 des Bürgerlichen Gesetzbuchs entsprechend anzuwenden.</w:t>
      </w:r>
    </w:p>
    <w:p>
      <w:r>
        <w:t xml:space="preserve">(5) Ein Insolvenzverfahren über das Gemeinschaftsvermögen findet nicht statt.</w:t>
      </w:r>
    </w:p>
    <w:p>
      <w:r>
        <w:rPr>
          <w:color w:val="555555"/>
          <w:sz w:val="17"/>
        </w:rPr>
        <w:t xml:space="preserve">Zitiervorschlag: § 9a WoEigG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https://recht.nulegal.eu/gesetze/WoEigG/9a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