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WoEigG — Grundbuchvorschriften</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Im Fall des § 3 Absatz 1 wird für jeden Miteigentumsanteil von Amts wegen ein besonderes Grundbuchblatt (Wohnungsgrundbuch, Teileigentumsgrundbuch) angelegt. Auf diesem ist das zu dem Miteigentumsanteil gehörende Sondereigentum und als Beschränkung des Miteigentums die Einräumung der zu den anderen Miteigentumsanteilen gehörenden Sondereigentumsrechte einzutragen. Das Grundbuchblatt des Grundstücks wird von Amts wegen geschlossen.</w:t>
      </w:r>
    </w:p>
    <w:p>
      <w:r>
        <w:t xml:space="preserve">(2) Zur Eintragung eines Beschlusses im Sinne des § 5 Absatz 4 Satz 1 bedarf es der Bewilligungen der Wohnungseigentümer nicht, wenn der Beschluss durch eine Niederschrift, bei der die Unterschriften der in § 24 Absatz 6 bezeichneten Personen öffentlich beglaubigt sind, oder durch ein Urteil in einem Verfahren nach § 44 Absatz 1 Satz 2 nachgewiesen ist. Antragsberechtigt ist auch die Gemeinschaft der Wohnungseigentümer.</w:t>
      </w:r>
    </w:p>
    <w:p>
      <w:r>
        <w:t xml:space="preserve">(3) Zur näheren Bezeichnung des Gegenstands und des Inhalts des Sondereigentums kann auf die Eintragungsbewilligung oder einen Nachweis gemäß Absatz 2 Satz 1 Bezug genommen werden. Veräußerungsbeschränkungen (§ 12) und die Haftung von Sondernachfolgern für Geldschulden sind jedoch ausdrücklich einzutragen.</w:t>
      </w:r>
    </w:p>
    <w:p>
      <w:r>
        <w:t xml:space="preserve">(4) Der Eintragungsbewilligung sind als Anlagen beizufügen:</w:t>
      </w:r>
    </w:p>
    <w:p>
      <w:pPr>
        <w:ind w:left="420"/>
      </w:pPr>
      <w:r>
        <w:t xml:space="preserve">1. eine von der Baubehörde mit Unterschrift und Siegel oder Stempel versehene Bauzeichnung, aus der die Aufteilung des Gebäudes und des Grundstücks sowie die Lage und Größe der im Sondereigentum und der im gemeinschaftlichen Eigentum stehenden Teile des Gebäudes und des Grundstücks ersichtlich ist (Aufteilungsplan); alle zu demselben Wohnungseigentum gehörenden Einzelräume und Teile des Grundstücks sind mit der jeweils gleichen Nummer zu kennzeichnen;</w:t>
      </w:r>
    </w:p>
    <w:p>
      <w:pPr>
        <w:ind w:left="420"/>
      </w:pPr>
      <w:r>
        <w:t xml:space="preserve">2. eine Bescheinigung der Baubehörde, dass die Voraussetzungen des § 3 Absatz 3 vorliegen.</w:t>
      </w:r>
    </w:p>
    <w:p>
      <w:r>
        <w:t xml:space="preserve">Wenn in der Eintragungsbewilligung für die einzelnen Sondereigentumsrechte Nummern angegeben werden, sollen sie mit denen des Aufteilungsplans übereinstimmen.</w:t>
      </w:r>
    </w:p>
    <w:p>
      <w:r>
        <w:t xml:space="preserve">(5) Für Teileigentumsgrundbücher gelten die Vorschriften über Wohnungsgrundbücher entsprechend.</w:t>
      </w:r>
    </w:p>
    <w:p>
      <w:r>
        <w:rPr>
          <w:color w:val="555555"/>
          <w:sz w:val="17"/>
        </w:rPr>
        <w:t xml:space="preserve">Zitiervorschlag: § 7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