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WoEigG — Unselbständigkeit des Sondereigentums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Das Sondereigentum kann ohne den Miteigentumsanteil, zu dem es gehört, nicht veräußert oder belastet werden.</w:t>
      </w:r>
    </w:p>
    <w:p>
      <w:r>
        <w:t xml:space="preserve">(2) Rechte an dem Miteigentumsanteil erstrecken sich auf das zu ihm gehörende Sondereigentum.</w:t>
      </w:r>
    </w:p>
    <w:p>
      <w:r>
        <w:rPr>
          <w:color w:val="555555"/>
          <w:sz w:val="17"/>
        </w:rPr>
        <w:t xml:space="preserve">Zitiervorschlag: § 6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