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 WoEigG — Überleitung bestehender Rechtsverhältnisse</w:t>
      </w:r>
    </w:p>
    <w:p>
      <w:r>
        <w:rPr>
          <w:color w:val="555555"/>
          <w:sz w:val="18"/>
        </w:rPr>
        <w:t xml:space="preserve">Wohnungseigentumsgesetz</w:t>
      </w:r>
    </w:p>
    <w:p>
      <w:r>
        <w:rPr>
          <w:color w:val="555555"/>
          <w:sz w:val="18"/>
        </w:rPr>
        <w:t xml:space="preserve">Stand: 25.01.2021 (konsolidierte Textfassung, kein amtliches Inkrafttretensdatum)</w:t>
      </w:r>
    </w:p>
    <w:p>
      <w:r>
        <w:t xml:space="preserve">(1) Werden Rechtsverhältnisse, mit denen ein Rechtserfolg bezweckt wird, der den durch dieses Gesetz geschaffenen Rechtsformen entspricht, in solche Rechtsformen umgewandelt, so ist als Geschäftswert für die Berechnung der hierdurch veranlassten Gebühren der Gerichte und Notare im Fall des Wohnungseigentums ein Fünfundzwanzigstel des Einheitswerts des Grundstückes, im Falle des Dauerwohnrechtes ein Fünfundzwanzigstel des Wertes des Rechts anzunehmen.</w:t>
      </w:r>
    </w:p>
    <w:p>
      <w:r>
        <w:t xml:space="preserve">(2) Durch Landesgesetz können Vorschriften zur Überleitung bestehender, auf Landesrecht beruhender Rechtsverhältnisse in die durch dieses Gesetz geschaffenen Rechtsformen getroffen werden.</w:t>
      </w:r>
    </w:p>
    <w:p>
      <w:r>
        <w:rPr>
          <w:color w:val="555555"/>
          <w:sz w:val="17"/>
        </w:rPr>
        <w:t xml:space="preserve">Zitiervorschlag: § 49 WoEigG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https://recht.nulegal.eu/gesetze/WoEigG/49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