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WoEigG — Zuständigkeit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Gemeinschaft der Wohnungseigentümer hat ihren allgemeinen Gerichtsstand bei dem Gericht, in dessen Bezirk das Grundstück liegt. Bei diesem Gericht kann auch die Klage gegen Wohnungseigentümer im Fall des § 9a Absatz 4 Satz 1 erhoben werden.</w:t>
      </w:r>
    </w:p>
    <w:p>
      <w:r>
        <w:t xml:space="preserve">(2) Das Gericht, in dessen Bezirk das Grundstück liegt, ist ausschließlich zuständig für</w:t>
      </w:r>
    </w:p>
    <w:p>
      <w:pPr>
        <w:ind w:left="420"/>
      </w:pPr>
      <w:r>
        <w:t xml:space="preserve">1. Streitigkeiten über die Rechte und Pflichten der Wohnungseigentümer untereinander,</w:t>
      </w:r>
    </w:p>
    <w:p>
      <w:pPr>
        <w:ind w:left="420"/>
      </w:pPr>
      <w:r>
        <w:t xml:space="preserve">2. Streitigkeiten über die Rechte und Pflichten zwischen der Gemeinschaft der Wohnungseigentümer und Wohnungseigentümern,</w:t>
      </w:r>
    </w:p>
    <w:p>
      <w:pPr>
        <w:ind w:left="420"/>
      </w:pPr>
      <w:r>
        <w:t xml:space="preserve">3. Streitigkeiten über die Rechte und Pflichten des Verwalters einschließlich solcher über Ansprüche eines Wohnungseigentümers gegen den Verwalter sowie</w:t>
      </w:r>
    </w:p>
    <w:p>
      <w:pPr>
        <w:ind w:left="420"/>
      </w:pPr>
      <w:r>
        <w:t xml:space="preserve">4. Beschlussklagen gemäß § 44.</w:t>
      </w:r>
    </w:p>
    <w:p>
      <w:r>
        <w:rPr>
          <w:color w:val="555555"/>
          <w:sz w:val="17"/>
        </w:rPr>
        <w:t xml:space="preserve">Zitiervorschlag: § 43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