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WoEigG — Belastung eines Erbbaurechts</w:t>
      </w:r>
    </w:p>
    <w:p>
      <w:r>
        <w:rPr>
          <w:color w:val="555555"/>
          <w:sz w:val="18"/>
        </w:rPr>
        <w:t xml:space="preserve">Wohnungseigentumsgesetz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Die Vorschriften der §§ 31 bis 41 gelten für die Belastung eines Erbbaurechts mit einem Dauerwohnrecht entsprechend.</w:t>
      </w:r>
    </w:p>
    <w:p>
      <w:r>
        <w:t xml:space="preserve">(2) Beim Heimfall des Erbbaurechts bleibt das Dauerwohnrecht bestehen.</w:t>
      </w:r>
    </w:p>
    <w:p>
      <w:r>
        <w:rPr>
          <w:color w:val="555555"/>
          <w:sz w:val="17"/>
        </w:rPr>
        <w:t xml:space="preserve">Zitiervorschlag: § 42 WoEigG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https://recht.nulegal.eu/gesetze/WoEigG/42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