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WoEigG — Formvorschriften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Zur Einräumung und zur Aufhebung des Sondereigentums ist die Einigung der Beteiligten über den Eintritt der Rechtsänderung und die Eintragung in das Grundbuch erforderlich.</w:t>
      </w:r>
    </w:p>
    <w:p>
      <w:r>
        <w:t xml:space="preserve">(2) Die Einigung bedarf der für die Auflassung vorgeschriebenen Form. Sondereigentum kann nicht unter einer Bedingung oder Zeitbestimmung eingeräumt oder aufgehoben werden.</w:t>
      </w:r>
    </w:p>
    <w:p>
      <w:r>
        <w:t xml:space="preserve">(3) Für einen Vertrag, durch den sich ein Teil verpflichtet, Sondereigentum einzuräumen, zu erwerben oder aufzuheben, gilt § 311b Absatz 1 des Bürgerlichen Gesetzbuchs entsprechend.</w:t>
      </w:r>
    </w:p>
    <w:p>
      <w:r>
        <w:rPr>
          <w:color w:val="555555"/>
          <w:sz w:val="17"/>
        </w:rPr>
        <w:t xml:space="preserve">Zitiervorschlag: § 4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