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WoEigG — Vermietung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Hat der Dauerwohnberechtigte die dem Dauerwohnrecht unterliegenden Gebäude- oder Grundstücksteile vermietet oder verpachtet, so erlischt das Miet- oder Pachtverhältnis, wenn das Dauerwohnrecht erlischt.</w:t>
      </w:r>
    </w:p>
    <w:p>
      <w:r>
        <w:t xml:space="preserve">(2) Macht der Eigentümer von seinem Heimfallanspruch Gebrauch, so tritt er oder derjenige, auf den das Dauerwohnrecht zu übertragen ist, in das Miet- oder Pachtverhältnis ein; die Vorschriften der §§ 566 bis 566e des Bürgerlichen Gesetzbuchs gelten entsprechend.</w:t>
      </w:r>
    </w:p>
    <w:p>
      <w:r>
        <w:t xml:space="preserve">(3) Absatz 2 gilt entsprechend, wenn das Dauerwohnrecht veräußert wird. Wird das Dauerwohnrecht im Wege der Zwangsvollstreckung veräußert, so steht dem Erwerber ein Kündigungsrecht in entsprechender Anwendung des § 57a des Gesetzes über die Zwangsversteigerung und die Zwangsverwaltung zu.</w:t>
      </w:r>
    </w:p>
    <w:p>
      <w:r>
        <w:rPr>
          <w:color w:val="555555"/>
          <w:sz w:val="17"/>
        </w:rPr>
        <w:t xml:space="preserve">Zitiervorschlag: § 37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