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WoEigG — Heimfallanspruch</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Als Inhalt des Dauerwohnrechts kann vereinbart werden, dass der Berechtigte verpflichtet ist, das Dauerwohnrecht beim Eintritt bestimmter Voraussetzungen auf den Grundstückseigentümer oder einen von diesem zu bezeichnenden Dritten zu übertragen (Heimfallanspruch). Der Heimfallanspruch kann nicht von dem Eigentum an dem Grundstück getrennt werden.</w:t>
      </w:r>
    </w:p>
    <w:p>
      <w:r>
        <w:t xml:space="preserve">(2) Bezieht sich das Dauerwohnrecht auf Räume, die dem Mieterschutz unterliegen, so kann der Eigentümer von dem Heimfallanspruch nur Gebrauch machen, wenn ein Grund vorliegt, aus dem ein Vermieter die Aufhebung des Mietverhältnisses verlangen oder kündigen kann.</w:t>
      </w:r>
    </w:p>
    <w:p>
      <w:r>
        <w:t xml:space="preserve">(3) Der Heimfallanspruch verjährt in sechs Monaten von dem Zeitpunkt an, in dem der Eigentümer von dem Eintritt der Voraussetzungen Kenntnis erlangt, ohne Rücksicht auf diese Kenntnis in zwei Jahren von dem Eintritt der Voraussetzungen an.</w:t>
      </w:r>
    </w:p>
    <w:p>
      <w:r>
        <w:t xml:space="preserve">(4) Als Inhalt des Dauerwohnrechts kann vereinbart werden, dass der Eigentümer dem Berechtigten eine Entschädigung zu gewähren hat, wenn er von dem Heimfallanspruch Gebrauch macht. Als Inhalt des Dauerwohnrechts können Vereinbarungen über die Berechnung oder Höhe der Entschädigung oder die Art ihrer Zahlung getroffen werden.</w:t>
      </w:r>
    </w:p>
    <w:p>
      <w:r>
        <w:rPr>
          <w:color w:val="555555"/>
          <w:sz w:val="17"/>
        </w:rPr>
        <w:t xml:space="preserve">Zitiervorschlag: § 36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