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WoEigG — Inhalt des Dauerwohnrechts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Das Dauerwohnrecht ist veräußerlich und vererblich. Es kann nicht unter einer Bedingung bestellt werden.</w:t>
      </w:r>
    </w:p>
    <w:p>
      <w:r>
        <w:t xml:space="preserve">(2) Auf das Dauerwohnrecht sind, soweit nicht etwas anderes vereinbart ist, die Vorschriften des § 14 entsprechend anzuwenden.</w:t>
      </w:r>
    </w:p>
    <w:p>
      <w:r>
        <w:t xml:space="preserve">(3) Der Berechtigte kann die zum gemeinschaftlichen Gebrauch bestimmten Teile, Anlagen und Einrichtungen des Gebäudes und Grundstücks mitbenutzen, soweit nichts anderes vereinbart ist.</w:t>
      </w:r>
    </w:p>
    <w:p>
      <w:r>
        <w:t xml:space="preserve">(4) Als Inhalt des Dauerwohnrechts können Vereinbarungen getroffen werden über:</w:t>
      </w:r>
    </w:p>
    <w:p>
      <w:pPr>
        <w:ind w:left="420"/>
      </w:pPr>
      <w:r>
        <w:t xml:space="preserve">1. Art und Umfang der Nutzungen;</w:t>
      </w:r>
    </w:p>
    <w:p>
      <w:pPr>
        <w:ind w:left="420"/>
      </w:pPr>
      <w:r>
        <w:t xml:space="preserve">2. Instandhaltung und Instandsetzung der dem Dauerwohnrecht unterliegenden Gebäudeteile;</w:t>
      </w:r>
    </w:p>
    <w:p>
      <w:pPr>
        <w:ind w:left="420"/>
      </w:pPr>
      <w:r>
        <w:t xml:space="preserve">3. die Pflicht des Berechtigten zur Tragung öffentlicher oder privatrechtlicher Lasten des Grundstücks;</w:t>
      </w:r>
    </w:p>
    <w:p>
      <w:pPr>
        <w:ind w:left="420"/>
      </w:pPr>
      <w:r>
        <w:t xml:space="preserve">4. die Versicherung des Gebäudes und seinen Wiederaufbau im Fall der Zerstörung;</w:t>
      </w:r>
    </w:p>
    <w:p>
      <w:pPr>
        <w:ind w:left="420"/>
      </w:pPr>
      <w:r>
        <w:t xml:space="preserve">5. das Recht des Eigentümers, bei Vorliegen bestimmter Voraussetzungen Sicherheitsleistung zu verlangen.</w:t>
      </w:r>
    </w:p>
    <w:p>
      <w:r>
        <w:rPr>
          <w:color w:val="555555"/>
          <w:sz w:val="17"/>
        </w:rPr>
        <w:t xml:space="preserve">Zitiervorschlag: § 33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