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WoEigG — Voraussetzungen der Eintragung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Das Dauerwohnrecht soll nur bestellt werden, wenn die Wohnung in sich abgeschlossen ist.</w:t>
      </w:r>
    </w:p>
    <w:p>
      <w:r>
        <w:t xml:space="preserve">(2) Zur näheren Bezeichnung des Gegenstands und des Inhalts des Dauerwohnrechts kann auf die Eintragungsbewilligung Bezug genommen werden. Der Eintragungsbewilligung sind als Anlagen beizufügen:</w:t>
      </w:r>
    </w:p>
    <w:p>
      <w:pPr>
        <w:ind w:left="420"/>
      </w:pPr>
      <w:r>
        <w:t xml:space="preserve">1. eine von der Baubehörde mit Unterschrift und Siegel oder Stempel versehene Bauzeichnung, aus der die Aufteilung des Gebäudes sowie die Lage und Größe der dem Dauerwohnrecht unterliegenden Gebäude- und Grundstücksteile ersichtlich ist (Aufteilungsplan); alle zu demselben Dauerwohnrecht gehörenden Einzelräume sind mit der jeweils gleichen Nummer zu kennzeichnen;</w:t>
      </w:r>
    </w:p>
    <w:p>
      <w:pPr>
        <w:ind w:left="420"/>
      </w:pPr>
      <w:r>
        <w:t xml:space="preserve">2. eine Bescheinigung der Baubehörde, dass die Voraussetzungen des Absatzes 1 vorliegen.</w:t>
      </w:r>
    </w:p>
    <w:p>
      <w:r>
        <w:t xml:space="preserve">Wenn in der Eintragungsbewilligung für die einzelnen Dauerwohnrechte Nummern angegeben werden, sollen sie mit denen des Aufteilungsplans übereinstimmen.</w:t>
      </w:r>
    </w:p>
    <w:p>
      <w:r>
        <w:t xml:space="preserve">(3) Das Grundbuchamt soll die Eintragung des Dauerwohnrechts ablehnen, wenn über die in § 33 Absatz 4 Nummer 1 bis 4 bezeichneten Angelegenheiten, über die Voraussetzungen des Heimfallanspruchs (§ 36 Absatz 1) und über die Entschädigung beim Heimfall (§ 36 Absatz 4) keine Vereinbarungen getroffen sind.</w:t>
      </w:r>
    </w:p>
    <w:p>
      <w:r>
        <w:rPr>
          <w:color w:val="555555"/>
          <w:sz w:val="17"/>
        </w:rPr>
        <w:t xml:space="preserve">Zitiervorschlag: § 32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