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WoEigG — Aufgaben und Befugnisse des Verwalters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Der Verwalter ist gegenüber der Gemeinschaft der Wohnungseigentümer berechtigt und verpflichtet, die Maßnahmen ordnungsmäßiger Verwaltung zu treffen, die</w:t>
      </w:r>
    </w:p>
    <w:p>
      <w:pPr>
        <w:ind w:left="420"/>
      </w:pPr>
      <w:r>
        <w:t xml:space="preserve">1. untergeordnete Bedeutung haben und nicht zu erheblichen Verpflichtungen führen oder</w:t>
      </w:r>
    </w:p>
    <w:p>
      <w:pPr>
        <w:ind w:left="420"/>
      </w:pPr>
      <w:r>
        <w:t xml:space="preserve">2. zur Wahrung einer Frist oder zur Abwendung eines Nachteils erforderlich sind.</w:t>
      </w:r>
    </w:p>
    <w:p>
      <w:r>
        <w:t xml:space="preserve">(2) Die Wohnungseigentümer können die Rechte und Pflichten nach Absatz 1 durch Beschluss einschränken oder erweitern.</w:t>
      </w:r>
    </w:p>
    <w:p>
      <w:r>
        <w:rPr>
          <w:color w:val="555555"/>
          <w:sz w:val="17"/>
        </w:rPr>
        <w:t xml:space="preserve">Zitiervorschlag: § 27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