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WoEigG — Verwaltung und Benutzung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Verwaltung des gemeinschaftlichen Eigentums obliegt der Gemeinschaft der Wohnungseigentümer.</w:t>
      </w:r>
    </w:p>
    <w:p>
      <w:r>
        <w:t xml:space="preserve">(2) Jeder Wohnungseigentümer kann von der Gemeinschaft der Wohnungseigentümer</w:t>
      </w:r>
    </w:p>
    <w:p>
      <w:pPr>
        <w:ind w:left="420"/>
      </w:pPr>
      <w:r>
        <w:t xml:space="preserve">1. eine Verwaltung des gemeinschaftlichen Eigentums sowie</w:t>
      </w:r>
    </w:p>
    <w:p>
      <w:pPr>
        <w:ind w:left="420"/>
      </w:pPr>
      <w:r>
        <w:t xml:space="preserve">2. eine Benutzung des gemeinschaftlichen Eigentums und des Sondereigentums</w:t>
      </w:r>
    </w:p>
    <w:p>
      <w:r>
        <w:t xml:space="preserve">verlangen, die dem Interesse der Gesamtheit der Wohnungseigentümer nach billigem Ermessen (ordnungsmäßige Verwaltung und Benutzung) und, soweit solche bestehen, den gesetzlichen Regelungen, Vereinbarungen und Beschlüssen entsprechen.</w:t>
      </w:r>
    </w:p>
    <w:p>
      <w:r>
        <w:t xml:space="preserve">(3) Jeder Wohnungseigentümer ist berechtigt, ohne Zustimmung der anderen Wohnungseigentümer die Maßnahmen zu treffen, die zur Abwendung eines dem gemeinschaftlichen Eigentum unmittelbar drohenden Schadens notwendig sind.</w:t>
      </w:r>
    </w:p>
    <w:p>
      <w:r>
        <w:t xml:space="preserve">(4) Jeder Wohnungseigentümer kann von der Gemeinschaft der Wohnungseigentümer Einsicht in die Verwaltungsunterlagen verlangen.</w:t>
      </w:r>
    </w:p>
    <w:p>
      <w:r>
        <w:rPr>
          <w:color w:val="555555"/>
          <w:sz w:val="17"/>
        </w:rPr>
        <w:t xml:space="preserve">Zitiervorschlag: § 18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