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WoEigG — Pflichten Dritter</w:t>
      </w:r>
    </w:p>
    <w:p>
      <w:r>
        <w:rPr>
          <w:color w:val="555555"/>
          <w:sz w:val="18"/>
        </w:rPr>
        <w:t xml:space="preserve">Wohnungseigentumsgesetz</w:t>
      </w:r>
    </w:p>
    <w:p>
      <w:r>
        <w:rPr>
          <w:color w:val="555555"/>
          <w:sz w:val="18"/>
        </w:rPr>
        <w:t xml:space="preserve">Stand: 25.01.2021 (konsolidierte Textfassung, kein amtliches Inkrafttretensdatum)</w:t>
      </w:r>
    </w:p>
    <w:p>
      <w:r>
        <w:t xml:space="preserve">Wer Wohnungseigentum gebraucht, ohne Wohnungseigentümer zu sein, hat gegenüber der Gemeinschaft der Wohnungseigentümer und anderen Wohnungseigentümern zu dulden:</w:t>
      </w:r>
    </w:p>
    <w:p>
      <w:pPr>
        <w:ind w:left="420"/>
      </w:pPr>
      <w:r>
        <w:t xml:space="preserve">1. die Erhaltung des gemeinschaftlichen Eigentums und des Sondereigentums, die ihm rechtzeitig angekündigt wurde; § 555a Absatz 2 des Bürgerlichen Gesetzbuchs gilt entsprechend;</w:t>
      </w:r>
    </w:p>
    <w:p>
      <w:pPr>
        <w:ind w:left="420"/>
      </w:pPr>
      <w:r>
        <w:t xml:space="preserve">2. Maßnahmen, die über die Erhaltung hinausgehen, die spätestens drei Monate vor ihrem Beginn in Textform angekündigt wurden; § 555c Absatz 1 Satz 2 Nummer 1 und 2, Absatz 2 bis 4 und § 555d Absatz 2 bis 5 des Bürgerlichen Gesetzbuchs gelten entsprechend.</w:t>
      </w:r>
    </w:p>
    <w:p>
      <w:r>
        <w:rPr>
          <w:color w:val="555555"/>
          <w:sz w:val="17"/>
        </w:rPr>
        <w:t xml:space="preserve">Zitiervorschlag: § 15 WoEigG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https://recht.nulegal.eu/gesetze/WoEigG/15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